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41" w:rsidRPr="003B4901" w:rsidRDefault="00161441" w:rsidP="0016144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CC1B4F">
        <w:rPr>
          <w:b/>
          <w:bCs/>
        </w:rPr>
        <w:t>RECONSTRUÇÃO MAMÁRIA COM RETALHOS CUTÂNEOS REGIONAIS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:rsidR="00161441" w:rsidRPr="003B4901" w:rsidRDefault="00161441" w:rsidP="00161441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161441" w:rsidRPr="003B4901" w:rsidRDefault="00161441" w:rsidP="0016144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CC1B4F">
        <w:rPr>
          <w:rFonts w:ascii="Trebuchet MS" w:hAnsi="Trebuchet MS" w:cs="Trebuchet MS"/>
          <w:color w:val="000000"/>
          <w:sz w:val="20"/>
        </w:rPr>
        <w:t xml:space="preserve">reconstrução parcial ou total </w:t>
      </w:r>
      <w:r>
        <w:rPr>
          <w:rFonts w:ascii="Trebuchet MS" w:hAnsi="Trebuchet MS" w:cs="Trebuchet MS"/>
          <w:color w:val="000000"/>
          <w:sz w:val="20"/>
        </w:rPr>
        <w:t>da mama com retalhos autólogos.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CC1B4F">
        <w:rPr>
          <w:rFonts w:ascii="Trebuchet MS" w:hAnsi="Trebuchet MS" w:cs="Trebuchet MS"/>
          <w:color w:val="000000"/>
          <w:sz w:val="20"/>
        </w:rPr>
        <w:t xml:space="preserve">: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4. Possibilidade de cicatrizes com formação de quelóides (cicatriz hipertrófica-grosseira).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5. Infecção.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6. Seromas (Acúmulo de secreção produzida pelo tecido gorduroso).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7. Saída do dreno.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8. Necroses parciais ou totais dos retalhos.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9. Abaulamentos abdominais. 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 xml:space="preserve">10. Extrusão da tela abdominal. </w:t>
      </w:r>
    </w:p>
    <w:p w:rsid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CC1B4F">
        <w:rPr>
          <w:rFonts w:ascii="Trebuchet MS" w:hAnsi="Trebuchet MS" w:cs="Trebuchet MS"/>
          <w:color w:val="000000"/>
          <w:sz w:val="20"/>
        </w:rPr>
        <w:t>11. Possibilidade de cicatrizes com formação de quelóides (ci</w:t>
      </w:r>
      <w:r>
        <w:rPr>
          <w:rFonts w:ascii="Trebuchet MS" w:hAnsi="Trebuchet MS" w:cs="Trebuchet MS"/>
          <w:color w:val="000000"/>
          <w:sz w:val="20"/>
        </w:rPr>
        <w:t>catriz hipertrófica-grosseira).</w:t>
      </w:r>
    </w:p>
    <w:p w:rsidR="00CC1B4F" w:rsidRPr="00CC1B4F" w:rsidRDefault="00CC1B4F" w:rsidP="00CC1B4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CD521B" w:rsidRPr="00CC1B4F" w:rsidRDefault="00CC1B4F" w:rsidP="00CC1B4F">
      <w:pPr>
        <w:pStyle w:val="Default"/>
        <w:spacing w:line="276" w:lineRule="auto"/>
        <w:jc w:val="both"/>
        <w:rPr>
          <w:sz w:val="18"/>
          <w:szCs w:val="22"/>
        </w:rPr>
      </w:pPr>
      <w:r w:rsidRPr="00CC1B4F">
        <w:rPr>
          <w:b/>
          <w:bCs/>
          <w:sz w:val="20"/>
          <w:szCs w:val="22"/>
        </w:rPr>
        <w:t xml:space="preserve">CBHPM </w:t>
      </w:r>
      <w:r w:rsidRPr="00CC1B4F">
        <w:rPr>
          <w:sz w:val="20"/>
          <w:szCs w:val="22"/>
        </w:rPr>
        <w:t xml:space="preserve">– 3.06.02.24-6 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CC1B4F">
        <w:rPr>
          <w:b/>
          <w:bCs/>
          <w:sz w:val="20"/>
          <w:szCs w:val="22"/>
        </w:rPr>
        <w:t xml:space="preserve">CID </w:t>
      </w:r>
      <w:r w:rsidRPr="00CC1B4F">
        <w:rPr>
          <w:sz w:val="20"/>
          <w:szCs w:val="22"/>
        </w:rPr>
        <w:t>– C50.9</w:t>
      </w:r>
    </w:p>
    <w:p w:rsidR="00EF3B72" w:rsidRPr="00EF3B72" w:rsidRDefault="00EF3B72" w:rsidP="00EF3B72">
      <w:pPr>
        <w:pStyle w:val="Default"/>
        <w:spacing w:line="276" w:lineRule="auto"/>
        <w:jc w:val="both"/>
        <w:rPr>
          <w:sz w:val="16"/>
          <w:szCs w:val="22"/>
        </w:rPr>
      </w:pPr>
    </w:p>
    <w:p w:rsidR="00161441" w:rsidRPr="003B4901" w:rsidRDefault="00161441" w:rsidP="00161441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161441" w:rsidRPr="003B4901" w:rsidRDefault="00161441" w:rsidP="00161441">
      <w:pPr>
        <w:pStyle w:val="Default"/>
        <w:spacing w:line="276" w:lineRule="auto"/>
        <w:jc w:val="both"/>
        <w:rPr>
          <w:sz w:val="20"/>
          <w:szCs w:val="20"/>
        </w:rPr>
      </w:pPr>
    </w:p>
    <w:p w:rsidR="00161441" w:rsidRPr="00161441" w:rsidRDefault="00161441" w:rsidP="00161441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</w:t>
      </w:r>
      <w:r w:rsidRPr="00161441">
        <w:rPr>
          <w:sz w:val="20"/>
          <w:szCs w:val="20"/>
        </w:rPr>
        <w:t xml:space="preserve">(a), em razão de sua não observância ser capaz de acarretar riscos e efeitos colaterais.  </w:t>
      </w:r>
    </w:p>
    <w:p w:rsidR="00161441" w:rsidRPr="00161441" w:rsidRDefault="00161441" w:rsidP="00161441">
      <w:pPr>
        <w:pStyle w:val="Default"/>
        <w:spacing w:line="276" w:lineRule="auto"/>
        <w:jc w:val="both"/>
        <w:rPr>
          <w:sz w:val="20"/>
          <w:szCs w:val="20"/>
        </w:rPr>
      </w:pPr>
    </w:p>
    <w:p w:rsidR="00161441" w:rsidRPr="00161441" w:rsidRDefault="00161441" w:rsidP="00161441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161441">
        <w:rPr>
          <w:sz w:val="20"/>
          <w:szCs w:val="20"/>
        </w:rPr>
        <w:t xml:space="preserve">Declaro ainda estar ciente de que o tratamento adotado </w:t>
      </w:r>
      <w:r w:rsidRPr="00161441">
        <w:rPr>
          <w:b/>
          <w:bCs/>
          <w:sz w:val="20"/>
          <w:szCs w:val="20"/>
          <w:u w:val="single"/>
        </w:rPr>
        <w:t>não</w:t>
      </w:r>
      <w:r w:rsidRPr="00161441">
        <w:rPr>
          <w:b/>
          <w:bCs/>
          <w:sz w:val="20"/>
          <w:szCs w:val="20"/>
        </w:rPr>
        <w:t xml:space="preserve"> assegura a garantia de cura</w:t>
      </w:r>
      <w:r w:rsidRPr="0016144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</w:t>
      </w:r>
      <w:r w:rsidRPr="00161441">
        <w:rPr>
          <w:sz w:val="20"/>
          <w:szCs w:val="20"/>
        </w:rPr>
        <w:lastRenderedPageBreak/>
        <w:t xml:space="preserve">desde já, a tomar providências necessárias para tentar a solução dos problemas surgidos, segundo seu julgamento. </w:t>
      </w:r>
    </w:p>
    <w:p w:rsidR="00161441" w:rsidRPr="00161441" w:rsidRDefault="00161441" w:rsidP="00161441">
      <w:pPr>
        <w:pStyle w:val="Default"/>
        <w:spacing w:line="276" w:lineRule="auto"/>
        <w:jc w:val="both"/>
        <w:rPr>
          <w:sz w:val="20"/>
          <w:szCs w:val="20"/>
        </w:rPr>
      </w:pPr>
    </w:p>
    <w:p w:rsidR="00161441" w:rsidRPr="00161441" w:rsidRDefault="00161441" w:rsidP="0016144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161441"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:rsidR="00161441" w:rsidRPr="00161441" w:rsidRDefault="00161441" w:rsidP="00161441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67751A" w:rsidRPr="00161441" w:rsidRDefault="00161441" w:rsidP="00161441">
      <w:pPr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161441">
        <w:rPr>
          <w:rFonts w:ascii="Trebuchet MS" w:hAnsi="Trebuchet MS"/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 w:rsidRPr="00161441"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 w:rsidRPr="00161441"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:rsidR="00161441" w:rsidRDefault="00161441" w:rsidP="00161441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67751A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>Ijuí/RS, ____ de _____________ de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67751A" w:rsidRDefault="0067751A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bookmarkStart w:id="0" w:name="_GoBack"/>
      <w:bookmarkEnd w:id="0"/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PS-GQ-02</w:t>
        </w:r>
        <w:r w:rsidRPr="004B44C6">
          <w:rPr>
            <w:rFonts w:ascii="Trebuchet MS" w:hAnsi="Trebuchet MS"/>
            <w:sz w:val="16"/>
            <w:szCs w:val="16"/>
          </w:rPr>
          <w:t xml:space="preserve"> -</w:t>
        </w:r>
        <w:r>
          <w:rPr>
            <w:rFonts w:ascii="Trebuchet MS" w:hAnsi="Trebuchet MS"/>
            <w:sz w:val="16"/>
            <w:szCs w:val="16"/>
          </w:rPr>
          <w:t xml:space="preserve"> </w:t>
        </w:r>
        <w:r w:rsidRPr="004B44C6">
          <w:rPr>
            <w:rFonts w:ascii="Trebuchet MS" w:hAnsi="Trebuchet MS"/>
            <w:sz w:val="16"/>
            <w:szCs w:val="16"/>
          </w:rPr>
          <w:t>Termo de Consentimento Livre e Esclarecido</w:t>
        </w:r>
      </w:p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161441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1B4F" w:rsidRPr="00CC1B4F" w:rsidRDefault="00D85562" w:rsidP="00CC1B4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916446" w:rsidRDefault="00CC1B4F" w:rsidP="00CC1B4F">
          <w:pPr>
            <w:pStyle w:val="Default"/>
            <w:jc w:val="center"/>
          </w:pPr>
          <w:r w:rsidRPr="00CC1B4F">
            <w:rPr>
              <w:sz w:val="28"/>
            </w:rPr>
            <w:t xml:space="preserve"> </w:t>
          </w:r>
          <w:r w:rsidRPr="00CC1B4F">
            <w:rPr>
              <w:b/>
              <w:bCs/>
              <w:szCs w:val="22"/>
            </w:rPr>
            <w:t>RECONSTRUÇÃO MAMÁRIA COM RETALHOS CUTÂNEOS REGIONAIS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08548F"/>
    <w:rsid w:val="00161441"/>
    <w:rsid w:val="00291934"/>
    <w:rsid w:val="004B44C6"/>
    <w:rsid w:val="00555D5A"/>
    <w:rsid w:val="0067751A"/>
    <w:rsid w:val="00845AB9"/>
    <w:rsid w:val="00916446"/>
    <w:rsid w:val="009F318F"/>
    <w:rsid w:val="00AE1CAA"/>
    <w:rsid w:val="00CC1B4F"/>
    <w:rsid w:val="00CD521B"/>
    <w:rsid w:val="00D46BFA"/>
    <w:rsid w:val="00D85562"/>
    <w:rsid w:val="00EF3B7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Laura Rorrato</cp:lastModifiedBy>
  <cp:revision>5</cp:revision>
  <dcterms:created xsi:type="dcterms:W3CDTF">2017-07-25T14:36:00Z</dcterms:created>
  <dcterms:modified xsi:type="dcterms:W3CDTF">2017-07-31T19:48:00Z</dcterms:modified>
</cp:coreProperties>
</file>