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3"/>
        <w:gridCol w:w="202"/>
        <w:gridCol w:w="138"/>
        <w:gridCol w:w="2467"/>
        <w:gridCol w:w="24"/>
        <w:gridCol w:w="30"/>
        <w:gridCol w:w="116"/>
        <w:gridCol w:w="2547"/>
        <w:tblGridChange w:id="0">
          <w:tblGrid>
            <w:gridCol w:w="4673"/>
            <w:gridCol w:w="202"/>
            <w:gridCol w:w="138"/>
            <w:gridCol w:w="2467"/>
            <w:gridCol w:w="24"/>
            <w:gridCol w:w="30"/>
            <w:gridCol w:w="116"/>
            <w:gridCol w:w="254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2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Dados do beneficiário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Nome do beneficiário</w:t>
            </w:r>
          </w:p>
          <w:p w:rsidR="00000000" w:rsidDel="00000000" w:rsidP="00000000" w:rsidRDefault="00000000" w:rsidRPr="00000000" w14:paraId="0000000B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2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Idade</w:t>
            </w:r>
          </w:p>
          <w:p w:rsidR="00000000" w:rsidDel="00000000" w:rsidP="00000000" w:rsidRDefault="00000000" w:rsidRPr="00000000" w14:paraId="00000013">
            <w:pPr>
              <w:ind w:left="-57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Dados do prestador solicitante</w:t>
            </w:r>
          </w:p>
          <w:p w:rsidR="00000000" w:rsidDel="00000000" w:rsidP="00000000" w:rsidRDefault="00000000" w:rsidRPr="00000000" w14:paraId="00000015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D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A) Artrite Reumatoide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CDAI (Índice Clínico de Atividade da Doença)</w:t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6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 ou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SDAI (Índice Simplificado de Atividade da Doença)</w:t>
            </w:r>
          </w:p>
          <w:bookmarkStart w:colFirst="0" w:colLast="0" w:name="bookmark=id.30j0zll" w:id="1"/>
          <w:bookmarkEnd w:id="1"/>
          <w:p w:rsidR="00000000" w:rsidDel="00000000" w:rsidP="00000000" w:rsidRDefault="00000000" w:rsidRPr="00000000" w14:paraId="0000002F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 ou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DAS 28 (Índice de Atividade da Doença – 28 articulações)</w:t>
            </w:r>
          </w:p>
          <w:bookmarkStart w:colFirst="0" w:colLast="0" w:name="bookmark=id.1fob9te" w:id="2"/>
          <w:bookmarkEnd w:id="2"/>
          <w:p w:rsidR="00000000" w:rsidDel="00000000" w:rsidP="00000000" w:rsidRDefault="00000000" w:rsidRPr="00000000" w14:paraId="00000038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left w:color="000000" w:space="0" w:sz="0" w:val="nil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drogas modificadoras do curso da doença?</w:t>
            </w:r>
          </w:p>
          <w:p w:rsidR="00000000" w:rsidDel="00000000" w:rsidP="00000000" w:rsidRDefault="00000000" w:rsidRPr="00000000" w14:paraId="00000041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44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Tempo de uso</w:t>
            </w:r>
          </w:p>
          <w:p w:rsidR="00000000" w:rsidDel="00000000" w:rsidP="00000000" w:rsidRDefault="00000000" w:rsidRPr="00000000" w14:paraId="00000049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4B">
            <w:pPr>
              <w:spacing w:before="20" w:lineRule="auto"/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B) Artrite Psoriásica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Comprometimento periférico</w:t>
            </w:r>
          </w:p>
          <w:p w:rsidR="00000000" w:rsidDel="00000000" w:rsidP="00000000" w:rsidRDefault="00000000" w:rsidRPr="00000000" w14:paraId="00000054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rebuchet MS" w:cs="Trebuchet MS" w:eastAsia="Trebuchet MS" w:hAnsi="Trebuchet MS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Sim   </w:t>
            </w:r>
            <w:r w:rsidDel="00000000" w:rsidR="00000000" w:rsidRPr="00000000">
              <w:rPr>
                <w:rFonts w:ascii="MS Gothic" w:cs="MS Gothic" w:eastAsia="MS Gothic" w:hAnsi="MS Gothic"/>
                <w:sz w:val="24"/>
                <w:szCs w:val="24"/>
                <w:rtl w:val="0"/>
              </w:rPr>
              <w:t xml:space="preserve">☐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DAS 28 (Índice de Atividade da Doença - 28 articulações)</w:t>
            </w:r>
          </w:p>
          <w:p w:rsidR="00000000" w:rsidDel="00000000" w:rsidP="00000000" w:rsidRDefault="00000000" w:rsidRPr="00000000" w14:paraId="0000005D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 ou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EVA (Escala Visual Analógica)</w:t>
            </w:r>
          </w:p>
          <w:p w:rsidR="00000000" w:rsidDel="00000000" w:rsidP="00000000" w:rsidRDefault="00000000" w:rsidRPr="00000000" w14:paraId="00000066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 ou                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Presença de articulações dolorosas ou edemaciadas? </w:t>
            </w:r>
          </w:p>
          <w:p w:rsidR="00000000" w:rsidDel="00000000" w:rsidP="00000000" w:rsidRDefault="00000000" w:rsidRPr="00000000" w14:paraId="0000006F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Quantas?</w:t>
            </w:r>
          </w:p>
          <w:p w:rsidR="00000000" w:rsidDel="00000000" w:rsidP="00000000" w:rsidRDefault="00000000" w:rsidRPr="00000000" w14:paraId="00000071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1    </w:t>
            </w:r>
            <w:r w:rsidDel="00000000" w:rsidR="00000000" w:rsidRPr="00000000">
              <w:rPr>
                <w:rFonts w:ascii="MS Gothic" w:cs="MS Gothic" w:eastAsia="MS Gothic" w:hAnsi="MS Gothic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2    </w:t>
            </w: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3    </w:t>
            </w: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4 ou +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drogas modificadoras do curso da doença? </w:t>
            </w:r>
          </w:p>
          <w:p w:rsidR="00000000" w:rsidDel="00000000" w:rsidP="00000000" w:rsidRDefault="00000000" w:rsidRPr="00000000" w14:paraId="00000079">
            <w:pPr>
              <w:ind w:left="-113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7B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Tempo de uso</w:t>
            </w:r>
          </w:p>
          <w:p w:rsidR="00000000" w:rsidDel="00000000" w:rsidP="00000000" w:rsidRDefault="00000000" w:rsidRPr="00000000" w14:paraId="00000080">
            <w:pPr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 comprometimento axial? </w:t>
            </w:r>
          </w:p>
          <w:p w:rsidR="00000000" w:rsidDel="00000000" w:rsidP="00000000" w:rsidRDefault="00000000" w:rsidRPr="00000000" w14:paraId="00000084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sim: BASDAI</w:t>
            </w:r>
            <w:r w:rsidDel="00000000" w:rsidR="00000000" w:rsidRPr="00000000">
              <w:rPr>
                <w:rFonts w:ascii="Trebuchet MS" w:cs="Trebuchet MS" w:eastAsia="Trebuchet MS" w:hAnsi="Trebuchet MS"/>
                <w:sz w:val="13"/>
                <w:szCs w:val="13"/>
                <w:rtl w:val="0"/>
              </w:rPr>
              <w:t xml:space="preserve"> (Índice Bath de Atividade da Doença para Espondilite Anquilosante)</w:t>
            </w:r>
            <w:r w:rsidDel="00000000" w:rsidR="00000000" w:rsidRPr="00000000">
              <w:rPr>
                <w:rFonts w:ascii="Trebuchet MS" w:cs="Trebuchet MS" w:eastAsia="Trebuchet MS" w:hAnsi="Trebuchet MS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ind w:left="-57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drogas convencionais por pelo menos três meses?     </w:t>
            </w:r>
          </w:p>
          <w:p w:rsidR="00000000" w:rsidDel="00000000" w:rsidP="00000000" w:rsidRDefault="00000000" w:rsidRPr="00000000" w14:paraId="0000008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gridSpan w:val="7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90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left w:color="000000" w:space="0" w:sz="0" w:val="nil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AINHs?      </w:t>
            </w:r>
          </w:p>
          <w:p w:rsidR="00000000" w:rsidDel="00000000" w:rsidP="00000000" w:rsidRDefault="00000000" w:rsidRPr="00000000" w14:paraId="00000098">
            <w:pPr>
              <w:ind w:left="-113" w:firstLine="0"/>
              <w:rPr>
                <w:rFonts w:ascii="Arial Narrow" w:cs="Arial Narrow" w:eastAsia="Arial Narrow" w:hAnsi="Arial Narrow"/>
                <w:sz w:val="6"/>
                <w:szCs w:val="6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9A">
            <w:pPr>
              <w:ind w:left="-57" w:firstLine="0"/>
              <w:rPr>
                <w:rFonts w:ascii="Arial Narrow" w:cs="Arial Narrow" w:eastAsia="Arial Narrow" w:hAnsi="Arial Narrow"/>
                <w:sz w:val="6"/>
                <w:szCs w:val="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12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Tempo de uso</w:t>
            </w:r>
          </w:p>
          <w:p w:rsidR="00000000" w:rsidDel="00000000" w:rsidP="00000000" w:rsidRDefault="00000000" w:rsidRPr="00000000" w14:paraId="0000009E">
            <w:pPr>
              <w:ind w:left="-57" w:firstLine="0"/>
              <w:rPr>
                <w:rFonts w:ascii="Arial Narrow" w:cs="Arial Narrow" w:eastAsia="Arial Narrow" w:hAnsi="Arial Narrow"/>
                <w:sz w:val="6"/>
                <w:szCs w:val="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A2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C) Doença de Crohn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IADC (Índice de Atividade da Doença de Crohn)</w:t>
            </w:r>
          </w:p>
          <w:p w:rsidR="00000000" w:rsidDel="00000000" w:rsidP="00000000" w:rsidRDefault="00000000" w:rsidRPr="00000000" w14:paraId="000000A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IHD (Índice Harvey-Bradscaw)</w:t>
            </w:r>
          </w:p>
          <w:p w:rsidR="00000000" w:rsidDel="00000000" w:rsidP="00000000" w:rsidRDefault="00000000" w:rsidRPr="00000000" w14:paraId="000000B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drogas imunossupressoras ou imunomoduladoras?</w:t>
            </w:r>
          </w:p>
          <w:p w:rsidR="00000000" w:rsidDel="00000000" w:rsidP="00000000" w:rsidRDefault="00000000" w:rsidRPr="00000000" w14:paraId="000000B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ind w:left="-57" w:firstLine="0"/>
              <w:jc w:val="both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quais?</w:t>
            </w:r>
          </w:p>
          <w:p w:rsidR="00000000" w:rsidDel="00000000" w:rsidP="00000000" w:rsidRDefault="00000000" w:rsidRPr="00000000" w14:paraId="000000BF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Tempo de uso</w:t>
            </w:r>
          </w:p>
          <w:p w:rsidR="00000000" w:rsidDel="00000000" w:rsidP="00000000" w:rsidRDefault="00000000" w:rsidRPr="00000000" w14:paraId="000000C4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7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D) Espondilite Anquilosante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CF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BASDAI (Índice Bath de Atividade da Doença para Espondilite Anquilosante)</w:t>
            </w: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0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D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ASDAS (Escore de Atividade da Doença para Espondilite Anquilosante</w:t>
            </w:r>
          </w:p>
          <w:p w:rsidR="00000000" w:rsidDel="00000000" w:rsidP="00000000" w:rsidRDefault="00000000" w:rsidRPr="00000000" w14:paraId="000000D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1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tratamento convencional?      </w:t>
            </w:r>
          </w:p>
          <w:p w:rsidR="00000000" w:rsidDel="00000000" w:rsidP="00000000" w:rsidRDefault="00000000" w:rsidRPr="00000000" w14:paraId="000000E2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E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Quais drogas utilizadas?</w:t>
            </w:r>
          </w:p>
          <w:p w:rsidR="00000000" w:rsidDel="00000000" w:rsidP="00000000" w:rsidRDefault="00000000" w:rsidRPr="00000000" w14:paraId="000000E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EC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Tempo de uso</w:t>
            </w:r>
          </w:p>
          <w:p w:rsidR="00000000" w:rsidDel="00000000" w:rsidP="00000000" w:rsidRDefault="00000000" w:rsidRPr="00000000" w14:paraId="000000ED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Tem comprometimento periférico?   </w:t>
            </w:r>
          </w:p>
          <w:p w:rsidR="00000000" w:rsidDel="00000000" w:rsidP="00000000" w:rsidRDefault="00000000" w:rsidRPr="00000000" w14:paraId="000000F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Sulfassalazina?     </w:t>
            </w:r>
          </w:p>
          <w:p w:rsidR="00000000" w:rsidDel="00000000" w:rsidP="00000000" w:rsidRDefault="00000000" w:rsidRPr="00000000" w14:paraId="000000FE">
            <w:pPr>
              <w:ind w:left="-113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FF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tempo de uso</w:t>
            </w:r>
          </w:p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Metotrexato?      </w:t>
            </w:r>
          </w:p>
          <w:p w:rsidR="00000000" w:rsidDel="00000000" w:rsidP="00000000" w:rsidRDefault="00000000" w:rsidRPr="00000000" w14:paraId="0000010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Sim   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 Não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09">
            <w:pPr>
              <w:ind w:left="-57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Se sim, tempo de uso</w:t>
            </w:r>
          </w:p>
          <w:p w:rsidR="00000000" w:rsidDel="00000000" w:rsidP="00000000" w:rsidRDefault="00000000" w:rsidRPr="00000000" w14:paraId="0000010A">
            <w:pPr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1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E) Psoríase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1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bookmarkStart w:colFirst="0" w:colLast="0" w:name="bookmark=id.3znysh7" w:id="3"/>
          <w:bookmarkEnd w:id="3"/>
          <w:p w:rsidR="00000000" w:rsidDel="00000000" w:rsidP="00000000" w:rsidRDefault="00000000" w:rsidRPr="00000000" w14:paraId="0000011A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2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Já fez uso de fototerapia e o período</w:t>
            </w:r>
          </w:p>
          <w:p w:rsidR="00000000" w:rsidDel="00000000" w:rsidP="00000000" w:rsidRDefault="00000000" w:rsidRPr="00000000" w14:paraId="0000012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2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drogas modificadoras do curso da doença? Se sim, quais?</w:t>
            </w:r>
          </w:p>
          <w:p w:rsidR="00000000" w:rsidDel="00000000" w:rsidP="00000000" w:rsidRDefault="00000000" w:rsidRPr="00000000" w14:paraId="0000012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Fez uso de outro imunobiológico? Se sim, qual?</w:t>
            </w:r>
          </w:p>
          <w:p w:rsidR="00000000" w:rsidDel="00000000" w:rsidP="00000000" w:rsidRDefault="00000000" w:rsidRPr="00000000" w14:paraId="0000013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3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PASI (índice de gravidade da psoríase por área)</w:t>
            </w:r>
          </w:p>
          <w:p w:rsidR="00000000" w:rsidDel="00000000" w:rsidP="00000000" w:rsidRDefault="00000000" w:rsidRPr="00000000" w14:paraId="0000013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Superfície corporal acometida (percentual)</w:t>
            </w:r>
          </w:p>
          <w:p w:rsidR="00000000" w:rsidDel="00000000" w:rsidP="00000000" w:rsidRDefault="00000000" w:rsidRPr="00000000" w14:paraId="0000014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4F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Regiões acometidas</w:t>
            </w:r>
          </w:p>
          <w:p w:rsidR="00000000" w:rsidDel="00000000" w:rsidP="00000000" w:rsidRDefault="00000000" w:rsidRPr="00000000" w14:paraId="00000150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5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Índice de Qualidade de vida em dermatologia (DLQI)</w:t>
            </w:r>
          </w:p>
          <w:p w:rsidR="00000000" w:rsidDel="00000000" w:rsidP="00000000" w:rsidRDefault="00000000" w:rsidRPr="00000000" w14:paraId="0000015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1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F) Retocolite ulcerativa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6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16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2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Escore completo de Mayo ou o escore endoscópico de Mayo</w:t>
            </w:r>
          </w:p>
          <w:p w:rsidR="00000000" w:rsidDel="00000000" w:rsidP="00000000" w:rsidRDefault="00000000" w:rsidRPr="00000000" w14:paraId="0000017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7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Terapias já utilizadas e o tempo de uso</w:t>
            </w:r>
          </w:p>
          <w:p w:rsidR="00000000" w:rsidDel="00000000" w:rsidP="00000000" w:rsidRDefault="00000000" w:rsidRPr="00000000" w14:paraId="0000017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4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G) Hidradenite supurativa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8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18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Estágio atual da patologia</w:t>
            </w:r>
          </w:p>
          <w:p w:rsidR="00000000" w:rsidDel="00000000" w:rsidP="00000000" w:rsidRDefault="00000000" w:rsidRPr="00000000" w14:paraId="0000019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9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terapias anteriores com antibióticos sistêmicos</w:t>
            </w:r>
          </w:p>
          <w:p w:rsidR="00000000" w:rsidDel="00000000" w:rsidP="00000000" w:rsidRDefault="00000000" w:rsidRPr="00000000" w14:paraId="0000019F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7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H) Asma eosinofílica grave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AF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1B0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B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sobre o uso de medicações anteriores e período de uso</w:t>
            </w:r>
          </w:p>
          <w:p w:rsidR="00000000" w:rsidDel="00000000" w:rsidP="00000000" w:rsidRDefault="00000000" w:rsidRPr="00000000" w14:paraId="000001B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1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a contagem de eosinófilos</w:t>
            </w:r>
          </w:p>
          <w:p w:rsidR="00000000" w:rsidDel="00000000" w:rsidP="00000000" w:rsidRDefault="00000000" w:rsidRPr="00000000" w14:paraId="000001C2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C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Número de exacerbações asmáticas que necessitaram uso de corticoide oral no último ano</w:t>
            </w:r>
          </w:p>
          <w:p w:rsidR="00000000" w:rsidDel="00000000" w:rsidP="00000000" w:rsidRDefault="00000000" w:rsidRPr="00000000" w14:paraId="000001C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3">
            <w:pPr>
              <w:spacing w:line="259" w:lineRule="auto"/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I) Asma alérgica Grave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1D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sobre o uso de medicações anteriores e período de uso</w:t>
            </w:r>
          </w:p>
          <w:p w:rsidR="00000000" w:rsidDel="00000000" w:rsidP="00000000" w:rsidRDefault="00000000" w:rsidRPr="00000000" w14:paraId="000001E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Dosagem de IgE sérica total</w:t>
            </w:r>
          </w:p>
          <w:p w:rsidR="00000000" w:rsidDel="00000000" w:rsidP="00000000" w:rsidRDefault="00000000" w:rsidRPr="00000000" w14:paraId="000001E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se o teste cutâneo de puntura ou dosagem de IgE sérica específica apresentou evidência de sensibilização e a quais alérgenos</w:t>
            </w:r>
          </w:p>
          <w:p w:rsidR="00000000" w:rsidDel="00000000" w:rsidP="00000000" w:rsidRDefault="00000000" w:rsidRPr="00000000" w14:paraId="000001F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FF">
            <w:pPr>
              <w:ind w:left="-113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J) Urticária Crônica Espontânea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0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20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0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escore de atividade de urticária em 7 dias</w:t>
            </w:r>
          </w:p>
          <w:p w:rsidR="00000000" w:rsidDel="00000000" w:rsidP="00000000" w:rsidRDefault="00000000" w:rsidRPr="00000000" w14:paraId="00000211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1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anti-histamínicos já utilizados e por qual período</w:t>
            </w:r>
          </w:p>
          <w:p w:rsidR="00000000" w:rsidDel="00000000" w:rsidP="00000000" w:rsidRDefault="00000000" w:rsidRPr="00000000" w14:paraId="0000021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2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Médico prescritor – especialidade</w:t>
            </w:r>
          </w:p>
          <w:p w:rsidR="00000000" w:rsidDel="00000000" w:rsidP="00000000" w:rsidRDefault="00000000" w:rsidRPr="00000000" w14:paraId="0000022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2B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L) Uveíte não infecciosa ativa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Imunobiológico Indicado</w:t>
            </w:r>
          </w:p>
          <w:p w:rsidR="00000000" w:rsidDel="00000000" w:rsidP="00000000" w:rsidRDefault="00000000" w:rsidRPr="00000000" w14:paraId="0000023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3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tratamento prévio e período de tratamento</w:t>
            </w:r>
          </w:p>
          <w:p w:rsidR="00000000" w:rsidDel="00000000" w:rsidP="00000000" w:rsidRDefault="00000000" w:rsidRPr="00000000" w14:paraId="0000023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se há contraindicação aos imunossupressores não corticoides e não biológicos </w:t>
            </w:r>
          </w:p>
          <w:p w:rsidR="00000000" w:rsidDel="00000000" w:rsidP="00000000" w:rsidRDefault="00000000" w:rsidRPr="00000000" w14:paraId="0000024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4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se foi feito diagnóstico de Doença de Behçet</w:t>
            </w:r>
          </w:p>
          <w:p w:rsidR="00000000" w:rsidDel="00000000" w:rsidP="00000000" w:rsidRDefault="00000000" w:rsidRPr="00000000" w14:paraId="0000024F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5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se há suspeita clínica ou confirmação de infecção intraocular </w:t>
            </w:r>
          </w:p>
          <w:p w:rsidR="00000000" w:rsidDel="00000000" w:rsidP="00000000" w:rsidRDefault="00000000" w:rsidRPr="00000000" w14:paraId="0000025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0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se há suspeita clínica ou confirmação de infecção sistêmica em atividade ou com risco de reativação</w:t>
            </w:r>
          </w:p>
          <w:p w:rsidR="00000000" w:rsidDel="00000000" w:rsidP="00000000" w:rsidRDefault="00000000" w:rsidRPr="00000000" w14:paraId="00000261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69">
            <w:pPr>
              <w:ind w:left="-113" w:firstLine="0"/>
              <w:rPr>
                <w:rFonts w:ascii="Trebuchet MS" w:cs="Trebuchet MS" w:eastAsia="Trebuchet MS" w:hAnsi="Trebuchet MS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M) Esclerose Múltipla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1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Medicação Indicada</w:t>
            </w:r>
          </w:p>
          <w:p w:rsidR="00000000" w:rsidDel="00000000" w:rsidP="00000000" w:rsidRDefault="00000000" w:rsidRPr="00000000" w14:paraId="00000272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7A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Forma da Esclerose Múltipla</w:t>
            </w:r>
          </w:p>
          <w:bookmarkStart w:colFirst="0" w:colLast="0" w:name="bookmark=id.2et92p0" w:id="4"/>
          <w:bookmarkEnd w:id="4"/>
          <w:p w:rsidR="00000000" w:rsidDel="00000000" w:rsidP="00000000" w:rsidRDefault="00000000" w:rsidRPr="00000000" w14:paraId="0000027B">
            <w:pPr>
              <w:spacing w:line="276" w:lineRule="auto"/>
              <w:ind w:left="-108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Esclerose múltipla recorrente-renitente</w:t>
                </w:r>
              </w:sdtContent>
            </w:sdt>
          </w:p>
          <w:bookmarkStart w:colFirst="0" w:colLast="0" w:name="bookmark=id.tyjcwt" w:id="5"/>
          <w:bookmarkEnd w:id="5"/>
          <w:p w:rsidR="00000000" w:rsidDel="00000000" w:rsidP="00000000" w:rsidRDefault="00000000" w:rsidRPr="00000000" w14:paraId="0000027C">
            <w:pPr>
              <w:spacing w:line="276" w:lineRule="auto"/>
              <w:ind w:left="-108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Esclerose múltipla primariamente progressiva</w:t>
                </w:r>
              </w:sdtContent>
            </w:sdt>
          </w:p>
          <w:bookmarkStart w:colFirst="0" w:colLast="0" w:name="bookmark=id.3dy6vkm" w:id="6"/>
          <w:bookmarkEnd w:id="6"/>
          <w:p w:rsidR="00000000" w:rsidDel="00000000" w:rsidP="00000000" w:rsidRDefault="00000000" w:rsidRPr="00000000" w14:paraId="0000027D">
            <w:pPr>
              <w:spacing w:line="276" w:lineRule="auto"/>
              <w:ind w:left="-108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☐ Esclerose múltipla secundariamente progressiva</w:t>
                </w:r>
              </w:sdtContent>
            </w:sdt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número de recidivas e período</w:t>
            </w:r>
          </w:p>
          <w:p w:rsidR="00000000" w:rsidDel="00000000" w:rsidP="00000000" w:rsidRDefault="00000000" w:rsidRPr="00000000" w14:paraId="00000286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8E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laudo de ressonância recente e anterior </w:t>
            </w:r>
          </w:p>
          <w:p w:rsidR="00000000" w:rsidDel="00000000" w:rsidP="00000000" w:rsidRDefault="00000000" w:rsidRPr="00000000" w14:paraId="0000028F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9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os critérios de Mc Donald de acordo com quadro abaixo</w:t>
            </w:r>
          </w:p>
          <w:p w:rsidR="00000000" w:rsidDel="00000000" w:rsidP="00000000" w:rsidRDefault="00000000" w:rsidRPr="00000000" w14:paraId="00000298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951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975"/>
              <w:gridCol w:w="4976"/>
              <w:tblGridChange w:id="0">
                <w:tblGrid>
                  <w:gridCol w:w="4975"/>
                  <w:gridCol w:w="4976"/>
                </w:tblGrid>
              </w:tblGridChange>
            </w:tblGrid>
            <w:tr>
              <w:trPr>
                <w:cantSplit w:val="0"/>
                <w:trHeight w:val="340" w:hRule="atLeast"/>
                <w:tblHeader w:val="0"/>
              </w:trPr>
              <w:tc>
                <w:tcPr>
                  <w:gridSpan w:val="2"/>
                  <w:tcBorders>
                    <w:top w:color="000000" w:space="0" w:sz="12" w:val="single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99">
                  <w:pPr>
                    <w:jc w:val="center"/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  <w:rtl w:val="0"/>
                    </w:rPr>
                    <w:t xml:space="preserve">Tabela 2. Critérios de Mc Donald 2017 para o diagnóstico da esclerose múltipla*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12" w:val="single"/>
                    <w:left w:color="000000" w:space="0" w:sz="12" w:val="single"/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9B">
                  <w:pPr>
                    <w:jc w:val="center"/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  <w:rtl w:val="0"/>
                    </w:rPr>
                    <w:t xml:space="preserve">Apresentação clínica</w:t>
                  </w:r>
                </w:p>
              </w:tc>
              <w:tc>
                <w:tcPr>
                  <w:tcBorders>
                    <w:top w:color="000000" w:space="0" w:sz="12" w:val="single"/>
                    <w:bottom w:color="000000" w:space="0" w:sz="4" w:val="single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9C">
                  <w:pPr>
                    <w:jc w:val="center"/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sz w:val="20"/>
                      <w:szCs w:val="20"/>
                      <w:rtl w:val="0"/>
                    </w:rPr>
                    <w:t xml:space="preserve">Dados adicionais necessários para o diagnóstico de esclerose múltipla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12" w:val="single"/>
                    <w:bottom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29D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Nº de surtos &gt; 2 e evidências clínicas objetivas de 2 ou mais lesões ou evidência clínica objetiva de 1 lesão, com história de surto pregresso. </w:t>
                  </w:r>
                </w:p>
              </w:tc>
              <w:tc>
                <w:tcPr>
                  <w:tcBorders>
                    <w:top w:color="000000" w:space="0" w:sz="4" w:val="single"/>
                    <w:bottom w:color="000000" w:space="0" w:sz="4" w:val="dotted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9E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Nenhum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dotted"/>
                    <w:left w:color="000000" w:space="0" w:sz="12" w:val="single"/>
                    <w:bottom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29F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Nº de surtos &gt; 2 e evidência clínica objetiva de 1 lesão.</w:t>
                  </w:r>
                </w:p>
              </w:tc>
              <w:tc>
                <w:tcPr>
                  <w:tcBorders>
                    <w:top w:color="000000" w:space="0" w:sz="4" w:val="dotted"/>
                    <w:bottom w:color="000000" w:space="0" w:sz="4" w:val="dotted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A0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Disseminação no espaço demonstrada por um surto clínico adicional relacionado a uma topografia diferente no SNC ou demonstrada por ressonância magnética.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dotted"/>
                    <w:left w:color="000000" w:space="0" w:sz="12" w:val="single"/>
                    <w:bottom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2A1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Nº de surtos igual a 1 e evidência clínica objetiva de 2 ou mais lesões.</w:t>
                  </w:r>
                </w:p>
              </w:tc>
              <w:tc>
                <w:tcPr>
                  <w:tcBorders>
                    <w:top w:color="000000" w:space="0" w:sz="4" w:val="dotted"/>
                    <w:bottom w:color="000000" w:space="0" w:sz="4" w:val="dotted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A2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Disseminação no tempo demonstrada por um surto clínico adicional ou por ressonância magnética ou pela presença de bandas oligocionais especificas no LCR.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tcBorders>
                    <w:top w:color="000000" w:space="0" w:sz="4" w:val="dotted"/>
                    <w:left w:color="000000" w:space="0" w:sz="12" w:val="single"/>
                    <w:bottom w:color="000000" w:space="0" w:sz="4" w:val="dotted"/>
                  </w:tcBorders>
                  <w:vAlign w:val="center"/>
                </w:tcPr>
                <w:p w:rsidR="00000000" w:rsidDel="00000000" w:rsidP="00000000" w:rsidRDefault="00000000" w:rsidRPr="00000000" w14:paraId="000002A3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Nº de surtos igual a 1 evidência clínica objetiva de 1 lesão.</w:t>
                  </w:r>
                </w:p>
              </w:tc>
              <w:tc>
                <w:tcPr>
                  <w:tcBorders>
                    <w:top w:color="000000" w:space="0" w:sz="4" w:val="dotted"/>
                    <w:bottom w:color="000000" w:space="0" w:sz="4" w:val="dotted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A4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Disseminação no espaço demostrada por um surto clínico adicional relacionado a uma topografia diferente no SNC ou demonstrada por ressonância magnética.</w:t>
                  </w:r>
                </w:p>
                <w:p w:rsidR="00000000" w:rsidDel="00000000" w:rsidP="00000000" w:rsidRDefault="00000000" w:rsidRPr="00000000" w14:paraId="000002A5">
                  <w:pPr>
                    <w:spacing w:line="276" w:lineRule="auto"/>
                    <w:jc w:val="center"/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E</w:t>
                  </w:r>
                </w:p>
                <w:p w:rsidR="00000000" w:rsidDel="00000000" w:rsidP="00000000" w:rsidRDefault="00000000" w:rsidRPr="00000000" w14:paraId="000002A6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Disseminação no tempo demostrada por um surto clínico adicional ou por ressonância magnética ou pela presença de bandas especificas no LCR.</w:t>
                  </w:r>
                </w:p>
              </w:tc>
            </w:tr>
            <w:tr>
              <w:trPr>
                <w:cantSplit w:val="0"/>
                <w:trHeight w:val="454" w:hRule="atLeast"/>
                <w:tblHeader w:val="0"/>
              </w:trPr>
              <w:tc>
                <w:tcPr>
                  <w:gridSpan w:val="2"/>
                  <w:tcBorders>
                    <w:top w:color="000000" w:space="0" w:sz="4" w:val="dotted"/>
                    <w:left w:color="000000" w:space="0" w:sz="12" w:val="single"/>
                    <w:bottom w:color="000000" w:space="0" w:sz="12" w:val="single"/>
                    <w:right w:color="000000" w:space="0" w:sz="12" w:val="single"/>
                  </w:tcBorders>
                  <w:vAlign w:val="center"/>
                </w:tcPr>
                <w:p w:rsidR="00000000" w:rsidDel="00000000" w:rsidP="00000000" w:rsidRDefault="00000000" w:rsidRPr="00000000" w14:paraId="000002A7">
                  <w:pPr>
                    <w:rPr>
                      <w:rFonts w:ascii="Trebuchet MS" w:cs="Trebuchet MS" w:eastAsia="Trebuchet MS" w:hAnsi="Trebuchet MS"/>
                      <w:sz w:val="15"/>
                      <w:szCs w:val="15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sz w:val="15"/>
                      <w:szCs w:val="15"/>
                      <w:rtl w:val="0"/>
                    </w:rPr>
                    <w:t xml:space="preserve">LCR = liquido ou fluido cérebro-espinhal</w:t>
                  </w:r>
                </w:p>
              </w:tc>
            </w:tr>
          </w:tbl>
          <w:p w:rsidR="00000000" w:rsidDel="00000000" w:rsidP="00000000" w:rsidRDefault="00000000" w:rsidRPr="00000000" w14:paraId="000002A9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1t3h5sf" w:id="7"/>
          <w:bookmarkEnd w:id="7"/>
          <w:p w:rsidR="00000000" w:rsidDel="00000000" w:rsidP="00000000" w:rsidRDefault="00000000" w:rsidRPr="00000000" w14:paraId="000002AA">
            <w:pPr>
              <w:ind w:left="-113" w:firstLine="0"/>
              <w:rPr>
                <w:rFonts w:ascii="Trebuchet MS" w:cs="Trebuchet MS" w:eastAsia="Trebuchet MS" w:hAnsi="Trebuchet MS"/>
                <w:sz w:val="20"/>
                <w:szCs w:val="2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[Informe os critérios de Mc Donald]</w:t>
            </w:r>
          </w:p>
          <w:p w:rsidR="00000000" w:rsidDel="00000000" w:rsidP="00000000" w:rsidRDefault="00000000" w:rsidRPr="00000000" w14:paraId="000002AB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B3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patologias com acometimento sistêmico nos últimos seis meses</w:t>
            </w:r>
          </w:p>
          <w:p w:rsidR="00000000" w:rsidDel="00000000" w:rsidP="00000000" w:rsidRDefault="00000000" w:rsidRPr="00000000" w14:paraId="000002B4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BC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terapias já realizadas e período tratado</w:t>
            </w:r>
          </w:p>
          <w:p w:rsidR="00000000" w:rsidDel="00000000" w:rsidP="00000000" w:rsidRDefault="00000000" w:rsidRPr="00000000" w14:paraId="000002BD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C5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laudo de hemograma recente, especialmente contagem de neutrófilos e linfócitos</w:t>
            </w:r>
          </w:p>
          <w:p w:rsidR="00000000" w:rsidDel="00000000" w:rsidP="00000000" w:rsidRDefault="00000000" w:rsidRPr="00000000" w14:paraId="000002C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CE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N) Artrite Idiopática Juvenil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D6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o subtipo </w:t>
            </w:r>
          </w:p>
          <w:p w:rsidR="00000000" w:rsidDel="00000000" w:rsidP="00000000" w:rsidRDefault="00000000" w:rsidRPr="00000000" w14:paraId="000002D7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6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DF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Informar as terapias já realizadas e período de tratamento</w:t>
            </w:r>
          </w:p>
          <w:p w:rsidR="00000000" w:rsidDel="00000000" w:rsidP="00000000" w:rsidRDefault="00000000" w:rsidRPr="00000000" w14:paraId="000002E0">
            <w:pPr>
              <w:ind w:left="-113" w:firstLine="0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8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2E8">
            <w:pPr>
              <w:ind w:left="-113" w:firstLine="0"/>
              <w:rPr>
                <w:rFonts w:ascii="Trebuchet MS" w:cs="Trebuchet MS" w:eastAsia="Trebuchet MS" w:hAnsi="Trebuchet MS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1"/>
                <w:szCs w:val="21"/>
                <w:rtl w:val="0"/>
              </w:rPr>
              <w:t xml:space="preserve">Assinatura</w:t>
            </w:r>
          </w:p>
        </w:tc>
      </w:tr>
      <w:tr>
        <w:trPr>
          <w:cantSplit w:val="0"/>
          <w:trHeight w:val="1361" w:hRule="atLeast"/>
          <w:tblHeader w:val="0"/>
        </w:trPr>
        <w:tc>
          <w:tcPr>
            <w:gridSpan w:val="3"/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2F0">
            <w:pPr>
              <w:ind w:left="-57" w:firstLine="0"/>
              <w:jc w:val="center"/>
              <w:rPr>
                <w:rFonts w:ascii="Trebuchet MS" w:cs="Trebuchet MS" w:eastAsia="Trebuchet MS" w:hAnsi="Trebuchet MS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Carimbo e assinatura do médico</w:t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0" w:val="nil"/>
            </w:tcBorders>
            <w:vAlign w:val="bottom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2F3">
            <w:pPr>
              <w:ind w:left="-57" w:firstLine="0"/>
              <w:jc w:val="center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sz w:val="15"/>
                <w:szCs w:val="15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2F4">
            <w:pPr>
              <w:ind w:left="-57" w:firstLine="0"/>
              <w:jc w:val="center"/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rPr>
                <w:rFonts w:ascii="Trebuchet MS" w:cs="Trebuchet MS" w:eastAsia="Trebuchet MS" w:hAnsi="Trebuchet MS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ind w:left="-57" w:firstLine="0"/>
              <w:jc w:val="center"/>
              <w:rPr>
                <w:rFonts w:ascii="Trebuchet MS" w:cs="Trebuchet MS" w:eastAsia="Trebuchet MS" w:hAnsi="Trebuchet MS"/>
                <w:b w:val="1"/>
                <w:sz w:val="15"/>
                <w:szCs w:val="15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FB">
      <w:pPr>
        <w:spacing w:after="0" w:line="240" w:lineRule="auto"/>
        <w:jc w:val="both"/>
        <w:rPr>
          <w:rFonts w:ascii="Arial Narrow" w:cs="Arial Narrow" w:eastAsia="Arial Narrow" w:hAnsi="Arial Narrow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0"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51" w:top="851" w:left="851" w:right="851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rebuchet MS"/>
  <w:font w:name="Arial Unicode MS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30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FS.132                                                                                                                                                                                                                            VER. 01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F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4005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sz w:val="28"/>
        <w:szCs w:val="28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5674360</wp:posOffset>
          </wp:positionH>
          <wp:positionV relativeFrom="page">
            <wp:posOffset>292735</wp:posOffset>
          </wp:positionV>
          <wp:extent cx="1511760" cy="540703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1760" cy="54070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Solicitação de Imunobiológicos</w:t>
      <w:tab/>
    </w:r>
  </w:p>
  <w:p w:rsidR="00000000" w:rsidDel="00000000" w:rsidP="00000000" w:rsidRDefault="00000000" w:rsidRPr="00000000" w14:paraId="000002F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506B99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177F6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77F65"/>
  </w:style>
  <w:style w:type="paragraph" w:styleId="Rodap">
    <w:name w:val="footer"/>
    <w:basedOn w:val="Normal"/>
    <w:link w:val="RodapChar"/>
    <w:uiPriority w:val="99"/>
    <w:unhideWhenUsed w:val="1"/>
    <w:rsid w:val="00177F6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77F65"/>
  </w:style>
  <w:style w:type="table" w:styleId="Tabelacomgrade">
    <w:name w:val="Table Grid"/>
    <w:basedOn w:val="Tabelanormal"/>
    <w:uiPriority w:val="59"/>
    <w:rsid w:val="00177F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177F65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F504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F5042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D6nev6jBksfC0EPWOJ4HMOmSw==">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2021-05-19T17:34:00Z</dcterms:created>
  <dc:creator>Dra. Juliana da Silva</dc:creator>
</cp:coreProperties>
</file>